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1A81" w14:textId="77777777" w:rsidR="008668E7" w:rsidRPr="00630C58" w:rsidRDefault="008668E7" w:rsidP="008668E7">
      <w:pPr>
        <w:tabs>
          <w:tab w:val="left" w:pos="851"/>
        </w:tabs>
        <w:spacing w:before="96" w:line="276" w:lineRule="auto"/>
        <w:jc w:val="both"/>
        <w:rPr>
          <w:rFonts w:cstheme="minorHAnsi"/>
          <w:b/>
          <w:bCs/>
          <w:sz w:val="24"/>
          <w:szCs w:val="24"/>
        </w:rPr>
      </w:pPr>
      <w:r w:rsidRPr="00630C58">
        <w:rPr>
          <w:rFonts w:cstheme="minorHAnsi"/>
          <w:b/>
          <w:bCs/>
          <w:sz w:val="24"/>
          <w:szCs w:val="24"/>
        </w:rPr>
        <w:t>Załącznik nr 6</w:t>
      </w:r>
    </w:p>
    <w:p w14:paraId="59888953" w14:textId="77777777" w:rsidR="008668E7" w:rsidRPr="00630C58" w:rsidRDefault="008668E7" w:rsidP="008668E7">
      <w:pPr>
        <w:pStyle w:val="Nagwek1"/>
        <w:tabs>
          <w:tab w:val="left" w:pos="851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Zasady bezpiecznej rekrutacji personelu w Młodzieżowym Ośrodku Socjoterapii nr 2 we Wrocławiu</w:t>
      </w:r>
    </w:p>
    <w:p w14:paraId="66091369" w14:textId="77777777" w:rsidR="008668E7" w:rsidRPr="00630C58" w:rsidRDefault="008668E7" w:rsidP="008668E7">
      <w:pPr>
        <w:pStyle w:val="Tekstpodstawowy"/>
        <w:tabs>
          <w:tab w:val="left" w:pos="851"/>
        </w:tabs>
        <w:spacing w:before="8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3A9052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0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Kadra kierownicza poznaje dane kandydata/kandydatki, które pozwolą jak najlepiej poznać jego/jej kwalifikacje, w tym stosunek do wartości podzielanych przez placówkę, takich jak ochrona praw dzieci i szacunek do ich godności.</w:t>
      </w:r>
    </w:p>
    <w:p w14:paraId="32BF3FDB" w14:textId="77777777" w:rsidR="008668E7" w:rsidRPr="00630C58" w:rsidRDefault="008668E7" w:rsidP="008668E7">
      <w:pPr>
        <w:pStyle w:val="Tekstpodstawowy"/>
        <w:tabs>
          <w:tab w:val="left" w:pos="851"/>
        </w:tabs>
        <w:spacing w:before="2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Placówka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</w:t>
      </w:r>
    </w:p>
    <w:p w14:paraId="6E017286" w14:textId="77777777" w:rsidR="008668E7" w:rsidRPr="00630C58" w:rsidRDefault="008668E7" w:rsidP="008668E7">
      <w:pPr>
        <w:pStyle w:val="Akapitzlist"/>
        <w:numPr>
          <w:ilvl w:val="1"/>
          <w:numId w:val="3"/>
        </w:numPr>
        <w:tabs>
          <w:tab w:val="left" w:pos="851"/>
          <w:tab w:val="left" w:pos="2205"/>
        </w:tabs>
        <w:spacing w:before="4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wykształcenia,</w:t>
      </w:r>
    </w:p>
    <w:p w14:paraId="489360D6" w14:textId="77777777" w:rsidR="008668E7" w:rsidRPr="00630C58" w:rsidRDefault="008668E7" w:rsidP="008668E7">
      <w:pPr>
        <w:pStyle w:val="Akapitzlist"/>
        <w:numPr>
          <w:ilvl w:val="1"/>
          <w:numId w:val="3"/>
        </w:numPr>
        <w:tabs>
          <w:tab w:val="left" w:pos="851"/>
          <w:tab w:val="left" w:pos="22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kwalifikacji zawodowych,</w:t>
      </w:r>
    </w:p>
    <w:p w14:paraId="58F6C9C8" w14:textId="77777777" w:rsidR="008668E7" w:rsidRPr="00630C58" w:rsidRDefault="008668E7" w:rsidP="008668E7">
      <w:pPr>
        <w:pStyle w:val="Akapitzlist"/>
        <w:numPr>
          <w:ilvl w:val="1"/>
          <w:numId w:val="3"/>
        </w:numPr>
        <w:tabs>
          <w:tab w:val="left" w:pos="851"/>
          <w:tab w:val="left" w:pos="22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przebiegu dotychczasowego zatrudnienia kandydata/kandydatki.</w:t>
      </w:r>
    </w:p>
    <w:p w14:paraId="0EA7E7E8" w14:textId="77777777" w:rsidR="008668E7" w:rsidRPr="00630C58" w:rsidRDefault="008668E7" w:rsidP="008668E7">
      <w:pPr>
        <w:pStyle w:val="Tekstpodstawowy"/>
        <w:tabs>
          <w:tab w:val="left" w:pos="851"/>
        </w:tabs>
        <w:spacing w:before="59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 każdym przypadku placówka musi posiadać dane pozwalające zidentyfikować osobę przez nią zatrudnioną, niezależnie od podstawy zatrudnienia. Placówka powinna zatem znać:</w:t>
      </w:r>
    </w:p>
    <w:p w14:paraId="5A78787C" w14:textId="77777777" w:rsidR="008668E7" w:rsidRPr="00630C58" w:rsidRDefault="008668E7" w:rsidP="008668E7">
      <w:pPr>
        <w:pStyle w:val="Akapitzlist"/>
        <w:numPr>
          <w:ilvl w:val="0"/>
          <w:numId w:val="2"/>
        </w:numPr>
        <w:tabs>
          <w:tab w:val="left" w:pos="851"/>
          <w:tab w:val="left" w:pos="22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imię (imiona) i nazwisko,</w:t>
      </w:r>
    </w:p>
    <w:p w14:paraId="5AB318A5" w14:textId="77777777" w:rsidR="008668E7" w:rsidRPr="00630C58" w:rsidRDefault="008668E7" w:rsidP="008668E7">
      <w:pPr>
        <w:pStyle w:val="Akapitzlist"/>
        <w:numPr>
          <w:ilvl w:val="0"/>
          <w:numId w:val="2"/>
        </w:numPr>
        <w:tabs>
          <w:tab w:val="left" w:pos="851"/>
          <w:tab w:val="left" w:pos="22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datę urodzenia,</w:t>
      </w:r>
    </w:p>
    <w:p w14:paraId="23C5457D" w14:textId="77777777" w:rsidR="008668E7" w:rsidRPr="00630C58" w:rsidRDefault="008668E7" w:rsidP="008668E7">
      <w:pPr>
        <w:pStyle w:val="Akapitzlist"/>
        <w:numPr>
          <w:ilvl w:val="0"/>
          <w:numId w:val="2"/>
        </w:numPr>
        <w:tabs>
          <w:tab w:val="left" w:pos="851"/>
          <w:tab w:val="left" w:pos="22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dane kontaktowe osoby zatrudnianej.</w:t>
      </w:r>
    </w:p>
    <w:p w14:paraId="62079431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Dyrektor ma prawo poprosić kandydata/kandydatkę o referencje z poprzednich miejsc zatrudnienia. 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[Rozporządzenie Parlamentu Europejskiego i Rady (UE) 2o16/679 z dnia 27 kwietnia 2o16 r. w sprawie ochrony osób fizycznych w związku z przetwarzaniem danych osobowych i w sprawie swobodnego przepływu takich danych oraz uchylenia dyrektywy 95/46/WE (ogólne rozporządzenie o ochronie danych) (Dz. U. UE. L. z 2o16 r. Nr 119, str. 1 z 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późn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>. zm.)] oraz Kodeksu pracy [Art. 221 oraz art. 221a Ustawy z dnia 26 czerwca 1974 r. Kodeks pracy (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t.j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>. Dz. U. z 2o22 r. poz. 1510]</w:t>
      </w:r>
    </w:p>
    <w:p w14:paraId="57CCF617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5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Dyrektor pobiera dane osobowe kandydata/kandydatki, w tym dane potrzebne do sprawdzenia jego/jej danych w Rejestrze Sprawców Przestępstw na Tle Seksualnym.</w:t>
      </w:r>
    </w:p>
    <w:p w14:paraId="6D09A579" w14:textId="77777777" w:rsidR="008668E7" w:rsidRPr="00630C58" w:rsidRDefault="008668E7" w:rsidP="008668E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Przed dopuszczeniem osoby zatrudnianej do wykonywania obowiązków związanych z wychowaniem, edukacją, wypoczynkiem, leczeniem małoletnich lub z opieką nad nimi 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lastRenderedPageBreak/>
        <w:t>placówka jest zobowiązana sprawdzić osobę zatrudnianą w Rejestrze Sprawców Przestępstw na Tle Seksualnym [Ustawa z dnia 13 maja 2o16 r. o przeciwdziałaniu zagrożeniom przestępczością na tle seksualnym (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t.j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. Dz. U. z 2o2o r. poz. 152)] – Rejestr z dostępem ograniczonym oraz Rejestr osób w stosunku do których Państwowa Komisja do spraw przeciwdziałania wykorzystaniu seksualnemu małoletnich poniżej lat 15 wydała postanowienie o wpisie w Rejestrze. Rejestr dostępny jest na stronie: </w:t>
      </w:r>
      <w:hyperlink r:id="rId5">
        <w:r w:rsidRPr="00630C58">
          <w:rPr>
            <w:rFonts w:asciiTheme="minorHAnsi" w:hAnsiTheme="minorHAnsi" w:cstheme="minorHAnsi"/>
            <w:color w:val="231F20"/>
            <w:sz w:val="24"/>
            <w:szCs w:val="24"/>
          </w:rPr>
          <w:t>rps.ms.gov.p</w:t>
        </w:r>
      </w:hyperlink>
      <w:r w:rsidRPr="00630C58">
        <w:rPr>
          <w:rFonts w:asciiTheme="minorHAnsi" w:hAnsiTheme="minorHAnsi" w:cstheme="minorHAnsi"/>
          <w:color w:val="231F20"/>
          <w:sz w:val="24"/>
          <w:szCs w:val="24"/>
        </w:rPr>
        <w:t>l. By móc uzyskać informacje z rejestru z dostępem ograniczonym, konieczne jest uprzednie założenie profilu placówki.</w:t>
      </w:r>
    </w:p>
    <w:p w14:paraId="261DF9FC" w14:textId="77777777" w:rsidR="008668E7" w:rsidRPr="00630C58" w:rsidRDefault="008668E7" w:rsidP="008668E7">
      <w:pPr>
        <w:pStyle w:val="Tekstpodstawowy"/>
        <w:tabs>
          <w:tab w:val="left" w:pos="851"/>
        </w:tabs>
        <w:spacing w:before="5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Aby sprawdzić osobę w Rejestrze placówka potrzebuje następujących danych kandydata/ kandydatki:</w:t>
      </w:r>
    </w:p>
    <w:p w14:paraId="670C0918" w14:textId="77777777" w:rsidR="008668E7" w:rsidRPr="00630C58" w:rsidRDefault="008668E7" w:rsidP="008668E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imię i nazwisko,</w:t>
      </w:r>
    </w:p>
    <w:p w14:paraId="53C5C1AC" w14:textId="77777777" w:rsidR="008668E7" w:rsidRPr="00630C58" w:rsidRDefault="008668E7" w:rsidP="008668E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data urodzenia,</w:t>
      </w:r>
    </w:p>
    <w:p w14:paraId="64A3C929" w14:textId="77777777" w:rsidR="008668E7" w:rsidRPr="00630C58" w:rsidRDefault="008668E7" w:rsidP="008668E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pesel,</w:t>
      </w:r>
    </w:p>
    <w:p w14:paraId="7A691663" w14:textId="77777777" w:rsidR="008668E7" w:rsidRPr="00630C58" w:rsidRDefault="008668E7" w:rsidP="008668E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nazwisko rodowe,</w:t>
      </w:r>
    </w:p>
    <w:p w14:paraId="2C8CD4C5" w14:textId="77777777" w:rsidR="008668E7" w:rsidRPr="00630C58" w:rsidRDefault="008668E7" w:rsidP="008668E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imię ojca,</w:t>
      </w:r>
    </w:p>
    <w:p w14:paraId="31CB4656" w14:textId="77777777" w:rsidR="008668E7" w:rsidRPr="00630C58" w:rsidRDefault="008668E7" w:rsidP="008668E7">
      <w:pPr>
        <w:pStyle w:val="Akapitzlist"/>
        <w:numPr>
          <w:ilvl w:val="1"/>
          <w:numId w:val="1"/>
        </w:numPr>
        <w:tabs>
          <w:tab w:val="left" w:pos="851"/>
          <w:tab w:val="left" w:pos="22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imię matki.</w:t>
      </w:r>
    </w:p>
    <w:p w14:paraId="5E5610A1" w14:textId="77777777" w:rsidR="008668E7" w:rsidRPr="00630C58" w:rsidRDefault="008668E7" w:rsidP="008668E7">
      <w:pPr>
        <w:pStyle w:val="Tekstpodstawowy"/>
        <w:tabs>
          <w:tab w:val="left" w:pos="851"/>
        </w:tabs>
        <w:spacing w:before="9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6C8E3F4" w14:textId="77777777" w:rsidR="008668E7" w:rsidRPr="00630C58" w:rsidRDefault="008668E7" w:rsidP="008668E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Wydruk z Rejestru należy przechowywać w aktach osobowych pracownika lub analogicznej dokumentacji dotyczącej wolontariusza/osoby zatrudnionej w oparciu o umowę cywilnoprawną.</w:t>
      </w:r>
    </w:p>
    <w:p w14:paraId="03DDDDF6" w14:textId="77777777" w:rsidR="008668E7" w:rsidRPr="00630C58" w:rsidRDefault="008668E7" w:rsidP="008668E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198E36E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0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Pobiera się od kandydata/kandydatki informację z Krajowego Rejestru Karnego o niekaralności w zakresie przestępstw określonych w rozdziale XIX i XXV Kodeksu karnego, w art. 189a i art. 2o7 Kodeksu karnego oraz w ustawie z dnia 29 lipca 2oo5 r. o przeciw- działaniu narkomanii (Dz. U. z 2o23 r. poz. 172 oraz z 2o22 r. poz. 26oo) lub za odpowiadające tym przestępstwom czyny zabronione określone w przepisach prawa obcego.</w:t>
      </w:r>
    </w:p>
    <w:p w14:paraId="1159F497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3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Jeżeli osoba posiada obywatelstwo inne niż polskie wówczas powinna przedłożyć również informację z rejestru karnego państwa obywatelstwa uzyskiwaną do celów działalności zawodowej lub 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wolontariackiej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 związanej z kontaktami z dziećmi, bądź informację z rejestru karnego, jeżeli prawo tego państwa nie przewiduje wydawania informacji dla w/w celów</w:t>
      </w:r>
    </w:p>
    <w:p w14:paraId="4309019F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3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Pobiera się od kandydata/kandydatki oświadczenie o państwie/ach zamieszkiwania w ciągu ostatnich 2o lat, innych niż Rzeczypospolita Polska i państwo obywatelstwa, złożone pod rygorem odpowiedzialności karnej.</w:t>
      </w:r>
    </w:p>
    <w:p w14:paraId="4B901684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Jeżeli prawo państwa, z którego ma być przedłożona informacja o niekaralności nie prze- 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189a i art. 2o7 Kodeksu karnego oraz w ustawie z dnia 29 lipca 2oo5 r. o 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lastRenderedPageBreak/>
        <w:t>przeciw- 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71BC930D" w14:textId="77777777" w:rsidR="008668E7" w:rsidRPr="00630C58" w:rsidRDefault="008668E7" w:rsidP="008668E7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4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14:paraId="6A625667" w14:textId="77777777" w:rsidR="008668E7" w:rsidRPr="00630C58" w:rsidRDefault="008668E7" w:rsidP="008668E7">
      <w:pPr>
        <w:pStyle w:val="Tekstpodstawowy"/>
        <w:tabs>
          <w:tab w:val="left" w:pos="851"/>
        </w:tabs>
        <w:spacing w:before="2" w:line="276" w:lineRule="auto"/>
        <w:ind w:firstLine="567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9. Gdy pozwalają na to przepisy prawa, placówka jest zobowiązana do domagania się od osoby zatrudnianej zaświadczenia z Krajowego Rejestru Karnego [Ustawa z dnia 24 maja 2ooo r. o Krajowym Rejestrze Karnym (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t.j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>. Dz. U. z 2o21 r. poz. 17o9)]. Zaświadczenia z KRK można domagać się wyłącznie w przypadkach, gdy przepisy prawa wprost wskazują, że pracowników w zawodach lub na danych stanowiskach obowiązuje wymóg niekaralności. Wymóg niekaralności obowiązuje m.in. pracowników samorządowych [Ustawa z dnia 21 listopada 2oo8 r. o pracownikach samorządowych (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t.j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>. Dz. U. z 2o22 r. poz. 53o)] oraz nauczycieli, w tym nauczycieli zatrudnionych w placówkach publicznych oraz niepublicznych [Ustawa z dnia 26 stycznia 1982 r. Karta Nauczyciela (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t.j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. Dz. U. z 2o21 r. poz. 1762 z 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późn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>. zm.].</w:t>
      </w:r>
    </w:p>
    <w:p w14:paraId="599990D9" w14:textId="77777777" w:rsidR="008668E7" w:rsidRPr="00630C58" w:rsidRDefault="008668E7" w:rsidP="008668E7">
      <w:pPr>
        <w:pStyle w:val="Tekstpodstawowy"/>
        <w:tabs>
          <w:tab w:val="left" w:pos="851"/>
        </w:tabs>
        <w:spacing w:before="4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10. W przypadku niemożliwości przedstawienia prosi się kandydata/kandydatkę o złożenie oświadczenia o niekaralności oraz o toczących się postępowaniach przygotowawczych, sądowych i dyscyplinarnych. Poniżej znajdziesz przykładowy formularz takiego oświadczenia.</w:t>
      </w:r>
    </w:p>
    <w:p w14:paraId="1A0AAC21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52EA"/>
    <w:multiLevelType w:val="hybridMultilevel"/>
    <w:tmpl w:val="29202EFA"/>
    <w:lvl w:ilvl="0" w:tplc="A17237E0">
      <w:start w:val="1"/>
      <w:numFmt w:val="decimal"/>
      <w:lvlText w:val="%1."/>
      <w:lvlJc w:val="left"/>
      <w:pPr>
        <w:ind w:left="1904" w:hanging="300"/>
      </w:pPr>
      <w:rPr>
        <w:rFonts w:ascii="Tahoma" w:eastAsia="Tahoma" w:hAnsi="Tahoma" w:cs="Tahoma" w:hint="default"/>
        <w:color w:val="231F20"/>
        <w:w w:val="91"/>
        <w:sz w:val="20"/>
        <w:szCs w:val="20"/>
        <w:lang w:val="pl-PL" w:eastAsia="en-US" w:bidi="ar-SA"/>
      </w:rPr>
    </w:lvl>
    <w:lvl w:ilvl="1" w:tplc="0316D828">
      <w:start w:val="1"/>
      <w:numFmt w:val="lowerLetter"/>
      <w:lvlText w:val="%2."/>
      <w:lvlJc w:val="left"/>
      <w:pPr>
        <w:ind w:left="2204" w:hanging="300"/>
      </w:pPr>
      <w:rPr>
        <w:rFonts w:ascii="Tahoma" w:eastAsia="Tahoma" w:hAnsi="Tahoma" w:cs="Tahoma" w:hint="default"/>
        <w:color w:val="231F20"/>
        <w:w w:val="88"/>
        <w:sz w:val="20"/>
        <w:szCs w:val="20"/>
        <w:lang w:val="pl-PL" w:eastAsia="en-US" w:bidi="ar-SA"/>
      </w:rPr>
    </w:lvl>
    <w:lvl w:ilvl="2" w:tplc="39A02EA4">
      <w:numFmt w:val="bullet"/>
      <w:lvlText w:val="•"/>
      <w:lvlJc w:val="left"/>
      <w:pPr>
        <w:ind w:left="3193" w:hanging="300"/>
      </w:pPr>
      <w:rPr>
        <w:rFonts w:hint="default"/>
        <w:lang w:val="pl-PL" w:eastAsia="en-US" w:bidi="ar-SA"/>
      </w:rPr>
    </w:lvl>
    <w:lvl w:ilvl="3" w:tplc="9A10E1A2">
      <w:numFmt w:val="bullet"/>
      <w:lvlText w:val="•"/>
      <w:lvlJc w:val="left"/>
      <w:pPr>
        <w:ind w:left="4187" w:hanging="300"/>
      </w:pPr>
      <w:rPr>
        <w:rFonts w:hint="default"/>
        <w:lang w:val="pl-PL" w:eastAsia="en-US" w:bidi="ar-SA"/>
      </w:rPr>
    </w:lvl>
    <w:lvl w:ilvl="4" w:tplc="80665FFE">
      <w:numFmt w:val="bullet"/>
      <w:lvlText w:val="•"/>
      <w:lvlJc w:val="left"/>
      <w:pPr>
        <w:ind w:left="5181" w:hanging="300"/>
      </w:pPr>
      <w:rPr>
        <w:rFonts w:hint="default"/>
        <w:lang w:val="pl-PL" w:eastAsia="en-US" w:bidi="ar-SA"/>
      </w:rPr>
    </w:lvl>
    <w:lvl w:ilvl="5" w:tplc="03B44D4E">
      <w:numFmt w:val="bullet"/>
      <w:lvlText w:val="•"/>
      <w:lvlJc w:val="left"/>
      <w:pPr>
        <w:ind w:left="6175" w:hanging="300"/>
      </w:pPr>
      <w:rPr>
        <w:rFonts w:hint="default"/>
        <w:lang w:val="pl-PL" w:eastAsia="en-US" w:bidi="ar-SA"/>
      </w:rPr>
    </w:lvl>
    <w:lvl w:ilvl="6" w:tplc="F6B88876">
      <w:numFmt w:val="bullet"/>
      <w:lvlText w:val="•"/>
      <w:lvlJc w:val="left"/>
      <w:pPr>
        <w:ind w:left="7169" w:hanging="300"/>
      </w:pPr>
      <w:rPr>
        <w:rFonts w:hint="default"/>
        <w:lang w:val="pl-PL" w:eastAsia="en-US" w:bidi="ar-SA"/>
      </w:rPr>
    </w:lvl>
    <w:lvl w:ilvl="7" w:tplc="9364D550">
      <w:numFmt w:val="bullet"/>
      <w:lvlText w:val="•"/>
      <w:lvlJc w:val="left"/>
      <w:pPr>
        <w:ind w:left="8163" w:hanging="300"/>
      </w:pPr>
      <w:rPr>
        <w:rFonts w:hint="default"/>
        <w:lang w:val="pl-PL" w:eastAsia="en-US" w:bidi="ar-SA"/>
      </w:rPr>
    </w:lvl>
    <w:lvl w:ilvl="8" w:tplc="12489582">
      <w:numFmt w:val="bullet"/>
      <w:lvlText w:val="•"/>
      <w:lvlJc w:val="left"/>
      <w:pPr>
        <w:ind w:left="9157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36AB070F"/>
    <w:multiLevelType w:val="hybridMultilevel"/>
    <w:tmpl w:val="E5E66432"/>
    <w:lvl w:ilvl="0" w:tplc="38BE4728">
      <w:start w:val="1"/>
      <w:numFmt w:val="decimal"/>
      <w:lvlText w:val="%1"/>
      <w:lvlJc w:val="left"/>
      <w:pPr>
        <w:ind w:left="1904" w:hanging="300"/>
      </w:pPr>
      <w:rPr>
        <w:rFonts w:ascii="Tahoma" w:eastAsia="Tahoma" w:hAnsi="Tahoma" w:cs="Tahoma" w:hint="default"/>
        <w:color w:val="231F20"/>
        <w:w w:val="98"/>
        <w:sz w:val="16"/>
        <w:szCs w:val="16"/>
        <w:lang w:val="pl-PL" w:eastAsia="en-US" w:bidi="ar-SA"/>
      </w:rPr>
    </w:lvl>
    <w:lvl w:ilvl="1" w:tplc="2F4E5242">
      <w:start w:val="1"/>
      <w:numFmt w:val="lowerLetter"/>
      <w:lvlText w:val="%2."/>
      <w:lvlJc w:val="left"/>
      <w:pPr>
        <w:ind w:left="2204" w:hanging="300"/>
      </w:pPr>
      <w:rPr>
        <w:rFonts w:ascii="Tahoma" w:eastAsia="Tahoma" w:hAnsi="Tahoma" w:cs="Tahoma" w:hint="default"/>
        <w:color w:val="231F20"/>
        <w:w w:val="88"/>
        <w:sz w:val="20"/>
        <w:szCs w:val="20"/>
        <w:lang w:val="pl-PL" w:eastAsia="en-US" w:bidi="ar-SA"/>
      </w:rPr>
    </w:lvl>
    <w:lvl w:ilvl="2" w:tplc="11729566">
      <w:numFmt w:val="bullet"/>
      <w:lvlText w:val="•"/>
      <w:lvlJc w:val="left"/>
      <w:pPr>
        <w:ind w:left="3193" w:hanging="300"/>
      </w:pPr>
      <w:rPr>
        <w:rFonts w:hint="default"/>
        <w:lang w:val="pl-PL" w:eastAsia="en-US" w:bidi="ar-SA"/>
      </w:rPr>
    </w:lvl>
    <w:lvl w:ilvl="3" w:tplc="E1FE769C">
      <w:numFmt w:val="bullet"/>
      <w:lvlText w:val="•"/>
      <w:lvlJc w:val="left"/>
      <w:pPr>
        <w:ind w:left="4187" w:hanging="300"/>
      </w:pPr>
      <w:rPr>
        <w:rFonts w:hint="default"/>
        <w:lang w:val="pl-PL" w:eastAsia="en-US" w:bidi="ar-SA"/>
      </w:rPr>
    </w:lvl>
    <w:lvl w:ilvl="4" w:tplc="9F948E04">
      <w:numFmt w:val="bullet"/>
      <w:lvlText w:val="•"/>
      <w:lvlJc w:val="left"/>
      <w:pPr>
        <w:ind w:left="5181" w:hanging="300"/>
      </w:pPr>
      <w:rPr>
        <w:rFonts w:hint="default"/>
        <w:lang w:val="pl-PL" w:eastAsia="en-US" w:bidi="ar-SA"/>
      </w:rPr>
    </w:lvl>
    <w:lvl w:ilvl="5" w:tplc="90D493DA">
      <w:numFmt w:val="bullet"/>
      <w:lvlText w:val="•"/>
      <w:lvlJc w:val="left"/>
      <w:pPr>
        <w:ind w:left="6175" w:hanging="300"/>
      </w:pPr>
      <w:rPr>
        <w:rFonts w:hint="default"/>
        <w:lang w:val="pl-PL" w:eastAsia="en-US" w:bidi="ar-SA"/>
      </w:rPr>
    </w:lvl>
    <w:lvl w:ilvl="6" w:tplc="B6A6A6A2">
      <w:numFmt w:val="bullet"/>
      <w:lvlText w:val="•"/>
      <w:lvlJc w:val="left"/>
      <w:pPr>
        <w:ind w:left="7169" w:hanging="300"/>
      </w:pPr>
      <w:rPr>
        <w:rFonts w:hint="default"/>
        <w:lang w:val="pl-PL" w:eastAsia="en-US" w:bidi="ar-SA"/>
      </w:rPr>
    </w:lvl>
    <w:lvl w:ilvl="7" w:tplc="0CE294CE">
      <w:numFmt w:val="bullet"/>
      <w:lvlText w:val="•"/>
      <w:lvlJc w:val="left"/>
      <w:pPr>
        <w:ind w:left="8163" w:hanging="300"/>
      </w:pPr>
      <w:rPr>
        <w:rFonts w:hint="default"/>
        <w:lang w:val="pl-PL" w:eastAsia="en-US" w:bidi="ar-SA"/>
      </w:rPr>
    </w:lvl>
    <w:lvl w:ilvl="8" w:tplc="41A6F42A">
      <w:numFmt w:val="bullet"/>
      <w:lvlText w:val="•"/>
      <w:lvlJc w:val="left"/>
      <w:pPr>
        <w:ind w:left="9157" w:hanging="300"/>
      </w:pPr>
      <w:rPr>
        <w:rFonts w:hint="default"/>
        <w:lang w:val="pl-PL" w:eastAsia="en-US" w:bidi="ar-SA"/>
      </w:rPr>
    </w:lvl>
  </w:abstractNum>
  <w:abstractNum w:abstractNumId="2" w15:restartNumberingAfterBreak="0">
    <w:nsid w:val="519D4DA7"/>
    <w:multiLevelType w:val="hybridMultilevel"/>
    <w:tmpl w:val="850A4480"/>
    <w:lvl w:ilvl="0" w:tplc="601A5E28">
      <w:start w:val="1"/>
      <w:numFmt w:val="lowerLetter"/>
      <w:lvlText w:val="%1."/>
      <w:lvlJc w:val="left"/>
      <w:pPr>
        <w:ind w:left="2204" w:hanging="300"/>
      </w:pPr>
      <w:rPr>
        <w:rFonts w:ascii="Tahoma" w:eastAsia="Tahoma" w:hAnsi="Tahoma" w:cs="Tahoma" w:hint="default"/>
        <w:color w:val="231F20"/>
        <w:w w:val="88"/>
        <w:sz w:val="20"/>
        <w:szCs w:val="20"/>
        <w:lang w:val="pl-PL" w:eastAsia="en-US" w:bidi="ar-SA"/>
      </w:rPr>
    </w:lvl>
    <w:lvl w:ilvl="1" w:tplc="91222B52">
      <w:numFmt w:val="bullet"/>
      <w:lvlText w:val="•"/>
      <w:lvlJc w:val="left"/>
      <w:pPr>
        <w:ind w:left="3094" w:hanging="300"/>
      </w:pPr>
      <w:rPr>
        <w:rFonts w:hint="default"/>
        <w:lang w:val="pl-PL" w:eastAsia="en-US" w:bidi="ar-SA"/>
      </w:rPr>
    </w:lvl>
    <w:lvl w:ilvl="2" w:tplc="3B1AA1F0">
      <w:numFmt w:val="bullet"/>
      <w:lvlText w:val="•"/>
      <w:lvlJc w:val="left"/>
      <w:pPr>
        <w:ind w:left="3989" w:hanging="300"/>
      </w:pPr>
      <w:rPr>
        <w:rFonts w:hint="default"/>
        <w:lang w:val="pl-PL" w:eastAsia="en-US" w:bidi="ar-SA"/>
      </w:rPr>
    </w:lvl>
    <w:lvl w:ilvl="3" w:tplc="DB944918">
      <w:numFmt w:val="bullet"/>
      <w:lvlText w:val="•"/>
      <w:lvlJc w:val="left"/>
      <w:pPr>
        <w:ind w:left="4883" w:hanging="300"/>
      </w:pPr>
      <w:rPr>
        <w:rFonts w:hint="default"/>
        <w:lang w:val="pl-PL" w:eastAsia="en-US" w:bidi="ar-SA"/>
      </w:rPr>
    </w:lvl>
    <w:lvl w:ilvl="4" w:tplc="B338208A">
      <w:numFmt w:val="bullet"/>
      <w:lvlText w:val="•"/>
      <w:lvlJc w:val="left"/>
      <w:pPr>
        <w:ind w:left="5778" w:hanging="300"/>
      </w:pPr>
      <w:rPr>
        <w:rFonts w:hint="default"/>
        <w:lang w:val="pl-PL" w:eastAsia="en-US" w:bidi="ar-SA"/>
      </w:rPr>
    </w:lvl>
    <w:lvl w:ilvl="5" w:tplc="DA882D9A">
      <w:numFmt w:val="bullet"/>
      <w:lvlText w:val="•"/>
      <w:lvlJc w:val="left"/>
      <w:pPr>
        <w:ind w:left="6672" w:hanging="300"/>
      </w:pPr>
      <w:rPr>
        <w:rFonts w:hint="default"/>
        <w:lang w:val="pl-PL" w:eastAsia="en-US" w:bidi="ar-SA"/>
      </w:rPr>
    </w:lvl>
    <w:lvl w:ilvl="6" w:tplc="B784F1E6">
      <w:numFmt w:val="bullet"/>
      <w:lvlText w:val="•"/>
      <w:lvlJc w:val="left"/>
      <w:pPr>
        <w:ind w:left="7567" w:hanging="300"/>
      </w:pPr>
      <w:rPr>
        <w:rFonts w:hint="default"/>
        <w:lang w:val="pl-PL" w:eastAsia="en-US" w:bidi="ar-SA"/>
      </w:rPr>
    </w:lvl>
    <w:lvl w:ilvl="7" w:tplc="C3B6C326">
      <w:numFmt w:val="bullet"/>
      <w:lvlText w:val="•"/>
      <w:lvlJc w:val="left"/>
      <w:pPr>
        <w:ind w:left="8461" w:hanging="300"/>
      </w:pPr>
      <w:rPr>
        <w:rFonts w:hint="default"/>
        <w:lang w:val="pl-PL" w:eastAsia="en-US" w:bidi="ar-SA"/>
      </w:rPr>
    </w:lvl>
    <w:lvl w:ilvl="8" w:tplc="420ADC12">
      <w:numFmt w:val="bullet"/>
      <w:lvlText w:val="•"/>
      <w:lvlJc w:val="left"/>
      <w:pPr>
        <w:ind w:left="9356" w:hanging="300"/>
      </w:pPr>
      <w:rPr>
        <w:rFonts w:hint="default"/>
        <w:lang w:val="pl-PL" w:eastAsia="en-US" w:bidi="ar-SA"/>
      </w:rPr>
    </w:lvl>
  </w:abstractNum>
  <w:num w:numId="1" w16cid:durableId="2029674279">
    <w:abstractNumId w:val="1"/>
  </w:num>
  <w:num w:numId="2" w16cid:durableId="955023134">
    <w:abstractNumId w:val="2"/>
  </w:num>
  <w:num w:numId="3" w16cid:durableId="6353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36"/>
    <w:rsid w:val="00793936"/>
    <w:rsid w:val="008668E7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8B0C-8CF4-43E9-973C-921CB938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8E7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668E7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8E7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668E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68E7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8668E7"/>
    <w:pPr>
      <w:widowControl w:val="0"/>
      <w:autoSpaceDE w:val="0"/>
      <w:autoSpaceDN w:val="0"/>
      <w:spacing w:before="2" w:after="0" w:line="240" w:lineRule="auto"/>
      <w:ind w:left="1904" w:hanging="3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2024-02-08T18:39:00Z</dcterms:created>
  <dcterms:modified xsi:type="dcterms:W3CDTF">2024-02-08T18:39:00Z</dcterms:modified>
</cp:coreProperties>
</file>